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90A" w:rsidRPr="006D0DEE" w:rsidRDefault="006D0DEE">
      <w:pPr>
        <w:rPr>
          <w:b/>
          <w:bCs/>
        </w:rPr>
      </w:pPr>
      <w:r w:rsidRPr="001F7F24">
        <w:rPr>
          <w:b/>
          <w:bCs/>
          <w:u w:val="single"/>
        </w:rPr>
        <w:t>Erasmus + NOTES</w:t>
      </w:r>
      <w:r w:rsidR="001F7F24">
        <w:rPr>
          <w:b/>
          <w:bCs/>
        </w:rPr>
        <w:t xml:space="preserve"> for the European Partnerships Working Group (12-13 Oct 2023)</w:t>
      </w:r>
    </w:p>
    <w:p w:rsidR="006D0DEE" w:rsidRDefault="006D0DEE"/>
    <w:p w:rsidR="006D0DEE" w:rsidRPr="006D0DEE" w:rsidRDefault="00396705">
      <w:pPr>
        <w:rPr>
          <w:b/>
          <w:bCs/>
        </w:rPr>
      </w:pPr>
      <w:r>
        <w:rPr>
          <w:b/>
          <w:bCs/>
        </w:rPr>
        <w:t>1</w:t>
      </w:r>
      <w:r>
        <w:rPr>
          <w:b/>
          <w:bCs/>
        </w:rPr>
        <w:tab/>
      </w:r>
      <w:r w:rsidR="006D0DEE" w:rsidRPr="006D0DEE">
        <w:rPr>
          <w:b/>
          <w:bCs/>
        </w:rPr>
        <w:t>eTwinning</w:t>
      </w:r>
      <w:r w:rsidR="00DB4C44">
        <w:rPr>
          <w:b/>
          <w:bCs/>
        </w:rPr>
        <w:t xml:space="preserve"> (</w:t>
      </w:r>
      <w:r w:rsidR="00DB4C44" w:rsidRPr="00DB4C44">
        <w:rPr>
          <w:b/>
          <w:bCs/>
          <w:u w:val="single"/>
        </w:rPr>
        <w:t>only for schools</w:t>
      </w:r>
      <w:r w:rsidR="00DB4C44">
        <w:rPr>
          <w:b/>
          <w:bCs/>
        </w:rPr>
        <w:t>)</w:t>
      </w:r>
    </w:p>
    <w:p w:rsidR="006D0DEE" w:rsidRDefault="006D0DEE"/>
    <w:p w:rsidR="006D0DEE" w:rsidRPr="003A0513" w:rsidRDefault="006D0DEE">
      <w:pPr>
        <w:rPr>
          <w:sz w:val="22"/>
          <w:szCs w:val="22"/>
        </w:rPr>
      </w:pPr>
      <w:r w:rsidRPr="003A0513">
        <w:rPr>
          <w:sz w:val="22"/>
          <w:szCs w:val="22"/>
        </w:rPr>
        <w:t>Eligibility: All EU and EEA, Albania, Armenia, Azerbaijan, Bosnia and Herzegovina, Georgia, Jordan, Lebanon, N Macedonia, Moldova, Serbia, Tunisia, Turkey, Ukraine.</w:t>
      </w:r>
    </w:p>
    <w:p w:rsidR="006D0DEE" w:rsidRPr="003A0513" w:rsidRDefault="006D0DEE">
      <w:pPr>
        <w:rPr>
          <w:sz w:val="22"/>
          <w:szCs w:val="22"/>
        </w:rPr>
      </w:pPr>
    </w:p>
    <w:p w:rsidR="006D0DEE" w:rsidRPr="003A0513" w:rsidRDefault="006D0DEE">
      <w:pPr>
        <w:rPr>
          <w:sz w:val="22"/>
          <w:szCs w:val="22"/>
        </w:rPr>
      </w:pPr>
      <w:r w:rsidRPr="003A0513">
        <w:rPr>
          <w:sz w:val="22"/>
          <w:szCs w:val="22"/>
        </w:rPr>
        <w:t xml:space="preserve">National Support Organisations responsible for validation, platform safety and quality labels. </w:t>
      </w:r>
      <w:r w:rsidRPr="003A0513">
        <w:rPr>
          <w:sz w:val="22"/>
          <w:szCs w:val="22"/>
        </w:rPr>
        <w:br/>
      </w:r>
    </w:p>
    <w:p w:rsidR="006D0DEE" w:rsidRPr="003A0513" w:rsidRDefault="00DB4C44">
      <w:pPr>
        <w:rPr>
          <w:b/>
          <w:bCs/>
          <w:sz w:val="22"/>
          <w:szCs w:val="22"/>
        </w:rPr>
      </w:pPr>
      <w:r w:rsidRPr="003A0513">
        <w:rPr>
          <w:b/>
          <w:bCs/>
          <w:sz w:val="22"/>
          <w:szCs w:val="22"/>
        </w:rPr>
        <w:t>Collaborative activities for teachers and pupils</w:t>
      </w:r>
      <w:r w:rsidR="006D0DEE" w:rsidRPr="003A0513">
        <w:rPr>
          <w:b/>
          <w:bCs/>
          <w:sz w:val="22"/>
          <w:szCs w:val="22"/>
        </w:rPr>
        <w:t xml:space="preserve"> include:</w:t>
      </w:r>
      <w:r w:rsidR="006D0DEE" w:rsidRPr="003A0513">
        <w:rPr>
          <w:b/>
          <w:bCs/>
          <w:sz w:val="22"/>
          <w:szCs w:val="22"/>
        </w:rPr>
        <w:br/>
      </w:r>
    </w:p>
    <w:p w:rsidR="00DB4C44" w:rsidRPr="003A0513" w:rsidRDefault="006D0DEE">
      <w:pPr>
        <w:rPr>
          <w:sz w:val="22"/>
          <w:szCs w:val="22"/>
        </w:rPr>
      </w:pPr>
      <w:r w:rsidRPr="003A0513">
        <w:rPr>
          <w:sz w:val="22"/>
          <w:szCs w:val="22"/>
        </w:rPr>
        <w:t>Meeting and networking online</w:t>
      </w:r>
      <w:r w:rsidR="00DB4C44" w:rsidRPr="003A0513">
        <w:rPr>
          <w:sz w:val="22"/>
          <w:szCs w:val="22"/>
        </w:rPr>
        <w:t>; Rooms, eTwinning groups, European projects</w:t>
      </w:r>
    </w:p>
    <w:p w:rsidR="00DB4C44" w:rsidRPr="003A0513" w:rsidRDefault="00DB4C44">
      <w:pPr>
        <w:rPr>
          <w:sz w:val="22"/>
          <w:szCs w:val="22"/>
        </w:rPr>
      </w:pPr>
      <w:r w:rsidRPr="003A0513">
        <w:rPr>
          <w:sz w:val="22"/>
          <w:szCs w:val="22"/>
        </w:rPr>
        <w:t xml:space="preserve">School to school projects through a </w:t>
      </w:r>
      <w:proofErr w:type="spellStart"/>
      <w:r w:rsidRPr="003A0513">
        <w:rPr>
          <w:sz w:val="22"/>
          <w:szCs w:val="22"/>
        </w:rPr>
        <w:t>Twinspace</w:t>
      </w:r>
      <w:proofErr w:type="spellEnd"/>
      <w:r w:rsidR="006D0DEE" w:rsidRPr="003A0513">
        <w:rPr>
          <w:sz w:val="22"/>
          <w:szCs w:val="22"/>
        </w:rPr>
        <w:br/>
        <w:t>Events and conferences</w:t>
      </w:r>
      <w:r w:rsidR="006D0DEE" w:rsidRPr="003A0513">
        <w:rPr>
          <w:sz w:val="22"/>
          <w:szCs w:val="22"/>
        </w:rPr>
        <w:br/>
        <w:t>Project kits</w:t>
      </w:r>
      <w:r w:rsidR="006D0DEE" w:rsidRPr="003A0513">
        <w:rPr>
          <w:sz w:val="22"/>
          <w:szCs w:val="22"/>
        </w:rPr>
        <w:br/>
      </w:r>
    </w:p>
    <w:p w:rsidR="006D0DEE" w:rsidRPr="003A0513" w:rsidRDefault="00DB4C44">
      <w:pPr>
        <w:rPr>
          <w:sz w:val="22"/>
          <w:szCs w:val="22"/>
        </w:rPr>
      </w:pPr>
      <w:r w:rsidRPr="003A0513">
        <w:rPr>
          <w:b/>
          <w:bCs/>
          <w:sz w:val="22"/>
          <w:szCs w:val="22"/>
        </w:rPr>
        <w:t>Plus:</w:t>
      </w:r>
      <w:r w:rsidR="006D0DEE" w:rsidRPr="003A0513">
        <w:rPr>
          <w:sz w:val="22"/>
          <w:szCs w:val="22"/>
        </w:rPr>
        <w:br/>
        <w:t>Lifelong learning for teachers: MOOCs, short and online courses</w:t>
      </w:r>
      <w:r w:rsidR="006D0DEE" w:rsidRPr="003A0513">
        <w:rPr>
          <w:sz w:val="22"/>
          <w:szCs w:val="22"/>
        </w:rPr>
        <w:br/>
        <w:t>Opportunities for future teachers</w:t>
      </w:r>
    </w:p>
    <w:p w:rsidR="006D0DEE" w:rsidRPr="003A0513" w:rsidRDefault="006D0DEE">
      <w:pPr>
        <w:rPr>
          <w:sz w:val="22"/>
          <w:szCs w:val="22"/>
        </w:rPr>
      </w:pPr>
    </w:p>
    <w:p w:rsidR="006D0DEE" w:rsidRPr="003A0513" w:rsidRDefault="006D0DEE">
      <w:pPr>
        <w:rPr>
          <w:sz w:val="22"/>
          <w:szCs w:val="22"/>
        </w:rPr>
      </w:pPr>
      <w:r w:rsidRPr="003A0513">
        <w:rPr>
          <w:sz w:val="22"/>
          <w:szCs w:val="22"/>
        </w:rPr>
        <w:t xml:space="preserve">Online campaigns </w:t>
      </w:r>
    </w:p>
    <w:p w:rsidR="006D0DEE" w:rsidRPr="003A0513" w:rsidRDefault="006D0DEE">
      <w:pPr>
        <w:rPr>
          <w:sz w:val="22"/>
          <w:szCs w:val="22"/>
        </w:rPr>
      </w:pPr>
    </w:p>
    <w:p w:rsidR="006D0DEE" w:rsidRDefault="006D0DEE">
      <w:pPr>
        <w:rPr>
          <w:sz w:val="22"/>
          <w:szCs w:val="22"/>
        </w:rPr>
      </w:pPr>
      <w:r w:rsidRPr="003A0513">
        <w:rPr>
          <w:sz w:val="22"/>
          <w:szCs w:val="22"/>
        </w:rPr>
        <w:t xml:space="preserve">Recognition: </w:t>
      </w:r>
      <w:r w:rsidR="00DB4C44" w:rsidRPr="003A0513">
        <w:rPr>
          <w:sz w:val="22"/>
          <w:szCs w:val="22"/>
        </w:rPr>
        <w:t>eTwinning School label (schools); eTwinning Ambassador (teachers)</w:t>
      </w:r>
    </w:p>
    <w:p w:rsidR="003A0513" w:rsidRDefault="003A0513">
      <w:pPr>
        <w:rPr>
          <w:sz w:val="22"/>
          <w:szCs w:val="22"/>
        </w:rPr>
      </w:pPr>
    </w:p>
    <w:p w:rsidR="003A0513" w:rsidRPr="003A0513" w:rsidRDefault="003A0513">
      <w:pPr>
        <w:rPr>
          <w:sz w:val="22"/>
          <w:szCs w:val="22"/>
        </w:rPr>
      </w:pPr>
      <w:r>
        <w:rPr>
          <w:sz w:val="22"/>
          <w:szCs w:val="22"/>
        </w:rPr>
        <w:t xml:space="preserve">eTwinning is now part of a wider platform </w:t>
      </w:r>
      <w:r w:rsidR="0022216D">
        <w:rPr>
          <w:sz w:val="22"/>
          <w:szCs w:val="22"/>
        </w:rPr>
        <w:t xml:space="preserve">that includes </w:t>
      </w:r>
      <w:proofErr w:type="spellStart"/>
      <w:r>
        <w:rPr>
          <w:sz w:val="22"/>
          <w:szCs w:val="22"/>
        </w:rPr>
        <w:t>SchoolEducationGateway</w:t>
      </w:r>
      <w:proofErr w:type="spellEnd"/>
      <w:r w:rsidR="0022216D">
        <w:rPr>
          <w:sz w:val="22"/>
          <w:szCs w:val="22"/>
        </w:rPr>
        <w:t xml:space="preserve">, (curriculum and training focussed). The united platform is called </w:t>
      </w:r>
      <w:r w:rsidR="0022216D" w:rsidRPr="0022216D">
        <w:rPr>
          <w:b/>
          <w:bCs/>
          <w:sz w:val="22"/>
          <w:szCs w:val="22"/>
        </w:rPr>
        <w:t>European School Education Platform</w:t>
      </w:r>
      <w:r w:rsidR="0022216D">
        <w:rPr>
          <w:sz w:val="22"/>
          <w:szCs w:val="22"/>
        </w:rPr>
        <w:t>.</w:t>
      </w:r>
    </w:p>
    <w:p w:rsidR="00396705" w:rsidRPr="003A0513" w:rsidRDefault="00396705">
      <w:pPr>
        <w:rPr>
          <w:sz w:val="22"/>
          <w:szCs w:val="22"/>
        </w:rPr>
      </w:pPr>
    </w:p>
    <w:p w:rsidR="00396705" w:rsidRPr="00396705" w:rsidRDefault="00396705">
      <w:pPr>
        <w:rPr>
          <w:b/>
          <w:bCs/>
        </w:rPr>
      </w:pPr>
      <w:r w:rsidRPr="00396705">
        <w:rPr>
          <w:b/>
          <w:bCs/>
        </w:rPr>
        <w:t>2</w:t>
      </w:r>
      <w:r w:rsidRPr="00396705">
        <w:rPr>
          <w:b/>
          <w:bCs/>
        </w:rPr>
        <w:tab/>
        <w:t>Erasmus + School Education Mobility</w:t>
      </w:r>
    </w:p>
    <w:p w:rsidR="00396705" w:rsidRDefault="00396705"/>
    <w:p w:rsidR="00396705" w:rsidRPr="003A0513" w:rsidRDefault="00396705">
      <w:pPr>
        <w:rPr>
          <w:sz w:val="22"/>
          <w:szCs w:val="22"/>
        </w:rPr>
      </w:pPr>
      <w:r w:rsidRPr="003A0513">
        <w:rPr>
          <w:sz w:val="22"/>
          <w:szCs w:val="22"/>
        </w:rPr>
        <w:t xml:space="preserve">For schools and other organisations active in the field of school education across Europe. </w:t>
      </w:r>
    </w:p>
    <w:p w:rsidR="00396705" w:rsidRPr="003A0513" w:rsidRDefault="00396705">
      <w:pPr>
        <w:rPr>
          <w:sz w:val="22"/>
          <w:szCs w:val="22"/>
        </w:rPr>
      </w:pPr>
    </w:p>
    <w:p w:rsidR="00396705" w:rsidRPr="003A0513" w:rsidRDefault="00396705">
      <w:pPr>
        <w:rPr>
          <w:sz w:val="22"/>
          <w:szCs w:val="22"/>
        </w:rPr>
      </w:pPr>
      <w:r w:rsidRPr="003A0513">
        <w:rPr>
          <w:sz w:val="22"/>
          <w:szCs w:val="22"/>
        </w:rPr>
        <w:t>Aims:</w:t>
      </w:r>
      <w:r w:rsidRPr="003A0513">
        <w:rPr>
          <w:sz w:val="22"/>
          <w:szCs w:val="22"/>
        </w:rPr>
        <w:br/>
        <w:t>- Learning opportunities for individuals</w:t>
      </w:r>
      <w:r w:rsidRPr="003A0513">
        <w:rPr>
          <w:sz w:val="22"/>
          <w:szCs w:val="22"/>
        </w:rPr>
        <w:br/>
        <w:t>- Support for internationalisation</w:t>
      </w:r>
      <w:r w:rsidRPr="003A0513">
        <w:rPr>
          <w:sz w:val="22"/>
          <w:szCs w:val="22"/>
        </w:rPr>
        <w:br/>
        <w:t>- Institutional development</w:t>
      </w:r>
      <w:r w:rsidRPr="003A0513">
        <w:rPr>
          <w:sz w:val="22"/>
          <w:szCs w:val="22"/>
        </w:rPr>
        <w:br/>
      </w:r>
    </w:p>
    <w:p w:rsidR="00396705" w:rsidRPr="003A0513" w:rsidRDefault="00396705">
      <w:pPr>
        <w:rPr>
          <w:rStyle w:val="Strong"/>
          <w:rFonts w:cstheme="minorHAnsi"/>
          <w:b w:val="0"/>
          <w:bCs w:val="0"/>
          <w:color w:val="3C3C3C"/>
          <w:sz w:val="22"/>
          <w:szCs w:val="22"/>
          <w:bdr w:val="none" w:sz="0" w:space="0" w:color="auto" w:frame="1"/>
        </w:rPr>
      </w:pPr>
      <w:r w:rsidRPr="003A0513">
        <w:rPr>
          <w:sz w:val="22"/>
          <w:szCs w:val="22"/>
        </w:rPr>
        <w:t>Programme priorities:</w:t>
      </w:r>
      <w:r w:rsidRPr="003A0513">
        <w:rPr>
          <w:sz w:val="22"/>
          <w:szCs w:val="22"/>
        </w:rPr>
        <w:br/>
      </w:r>
      <w:r w:rsidRPr="003A0513">
        <w:rPr>
          <w:rStyle w:val="Strong"/>
          <w:rFonts w:cstheme="minorHAnsi"/>
          <w:b w:val="0"/>
          <w:bCs w:val="0"/>
          <w:color w:val="3C3C3C"/>
          <w:sz w:val="22"/>
          <w:szCs w:val="22"/>
          <w:bdr w:val="none" w:sz="0" w:space="0" w:color="auto" w:frame="1"/>
        </w:rPr>
        <w:t>- Inclusion and diversity</w:t>
      </w:r>
      <w:r w:rsidRPr="003A0513">
        <w:rPr>
          <w:rStyle w:val="Strong"/>
          <w:rFonts w:cstheme="minorHAnsi"/>
          <w:b w:val="0"/>
          <w:bCs w:val="0"/>
          <w:color w:val="3C3C3C"/>
          <w:sz w:val="22"/>
          <w:szCs w:val="22"/>
          <w:bdr w:val="none" w:sz="0" w:space="0" w:color="auto" w:frame="1"/>
        </w:rPr>
        <w:br/>
        <w:t>- Environmental sustainability</w:t>
      </w:r>
      <w:r w:rsidRPr="003A0513">
        <w:rPr>
          <w:rStyle w:val="Strong"/>
          <w:rFonts w:cstheme="minorHAnsi"/>
          <w:b w:val="0"/>
          <w:bCs w:val="0"/>
          <w:color w:val="3C3C3C"/>
          <w:sz w:val="22"/>
          <w:szCs w:val="22"/>
          <w:bdr w:val="none" w:sz="0" w:space="0" w:color="auto" w:frame="1"/>
        </w:rPr>
        <w:br/>
        <w:t>- Digital education</w:t>
      </w:r>
    </w:p>
    <w:p w:rsidR="00396705" w:rsidRDefault="00396705">
      <w:pPr>
        <w:rPr>
          <w:rStyle w:val="Strong"/>
          <w:rFonts w:cstheme="minorHAnsi"/>
          <w:b w:val="0"/>
          <w:bCs w:val="0"/>
          <w:color w:val="3C3C3C"/>
          <w:bdr w:val="none" w:sz="0" w:space="0" w:color="auto" w:frame="1"/>
        </w:rPr>
      </w:pPr>
    </w:p>
    <w:p w:rsidR="00396705" w:rsidRDefault="00396705">
      <w:pPr>
        <w:rPr>
          <w:rStyle w:val="Strong"/>
          <w:rFonts w:cstheme="minorHAnsi"/>
          <w:b w:val="0"/>
          <w:bCs w:val="0"/>
          <w:color w:val="3C3C3C"/>
          <w:bdr w:val="none" w:sz="0" w:space="0" w:color="auto" w:frame="1"/>
        </w:rPr>
      </w:pPr>
      <w:r>
        <w:rPr>
          <w:rStyle w:val="Strong"/>
          <w:rFonts w:cstheme="minorHAnsi"/>
          <w:b w:val="0"/>
          <w:bCs w:val="0"/>
          <w:color w:val="3C3C3C"/>
          <w:bdr w:val="none" w:sz="0" w:space="0" w:color="auto" w:frame="1"/>
        </w:rPr>
        <w:t>What happens on a Mobility Project?</w:t>
      </w:r>
    </w:p>
    <w:p w:rsidR="00396705" w:rsidRDefault="00396705">
      <w:pPr>
        <w:rPr>
          <w:rStyle w:val="Strong"/>
          <w:rFonts w:cstheme="minorHAnsi"/>
          <w:b w:val="0"/>
          <w:bCs w:val="0"/>
          <w:color w:val="3C3C3C"/>
          <w:bdr w:val="none" w:sz="0" w:space="0" w:color="auto" w:frame="1"/>
        </w:rPr>
      </w:pPr>
    </w:p>
    <w:p w:rsidR="00396705" w:rsidRPr="00396705" w:rsidRDefault="00396705" w:rsidP="00396705">
      <w:pPr>
        <w:shd w:val="clear" w:color="auto" w:fill="FFFFFF"/>
        <w:textAlignment w:val="baseline"/>
        <w:rPr>
          <w:rFonts w:eastAsia="Times New Roman" w:cstheme="minorHAnsi"/>
          <w:color w:val="393B49"/>
          <w:kern w:val="0"/>
          <w:sz w:val="22"/>
          <w:szCs w:val="22"/>
          <w:lang w:eastAsia="en-GB"/>
          <w14:ligatures w14:val="none"/>
        </w:rPr>
      </w:pPr>
      <w:r w:rsidRPr="00396705">
        <w:rPr>
          <w:rFonts w:eastAsia="Times New Roman" w:cstheme="minorHAnsi"/>
          <w:b/>
          <w:bCs/>
          <w:color w:val="393B49"/>
          <w:kern w:val="0"/>
          <w:sz w:val="22"/>
          <w:szCs w:val="22"/>
          <w:bdr w:val="none" w:sz="0" w:space="0" w:color="auto" w:frame="1"/>
          <w:lang w:eastAsia="en-GB"/>
          <w14:ligatures w14:val="none"/>
        </w:rPr>
        <w:t>On a staff mobility project, participants can take part in:</w:t>
      </w:r>
    </w:p>
    <w:p w:rsidR="00396705" w:rsidRPr="00396705" w:rsidRDefault="00396705" w:rsidP="00396705">
      <w:pPr>
        <w:numPr>
          <w:ilvl w:val="0"/>
          <w:numId w:val="1"/>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Job shadowing for 2 to 60 days</w:t>
      </w:r>
    </w:p>
    <w:p w:rsidR="00396705" w:rsidRPr="00396705" w:rsidRDefault="00396705" w:rsidP="00396705">
      <w:pPr>
        <w:numPr>
          <w:ilvl w:val="0"/>
          <w:numId w:val="1"/>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Teaching assignments for 2 to 365 days</w:t>
      </w:r>
    </w:p>
    <w:p w:rsidR="00396705" w:rsidRPr="00396705" w:rsidRDefault="00396705" w:rsidP="00396705">
      <w:pPr>
        <w:numPr>
          <w:ilvl w:val="0"/>
          <w:numId w:val="1"/>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Courses and training for 2 to 30 days</w:t>
      </w:r>
      <w:r w:rsidR="003A0513" w:rsidRPr="003A0513">
        <w:rPr>
          <w:rFonts w:eastAsia="Times New Roman" w:cstheme="minorHAnsi"/>
          <w:color w:val="393B49"/>
          <w:kern w:val="0"/>
          <w:sz w:val="22"/>
          <w:szCs w:val="22"/>
          <w:lang w:eastAsia="en-GB"/>
          <w14:ligatures w14:val="none"/>
        </w:rPr>
        <w:br/>
      </w:r>
    </w:p>
    <w:p w:rsidR="00396705" w:rsidRPr="00396705" w:rsidRDefault="00396705" w:rsidP="00396705">
      <w:pPr>
        <w:shd w:val="clear" w:color="auto" w:fill="FFFFFF"/>
        <w:textAlignment w:val="baseline"/>
        <w:rPr>
          <w:rFonts w:eastAsia="Times New Roman" w:cstheme="minorHAnsi"/>
          <w:color w:val="393B49"/>
          <w:kern w:val="0"/>
          <w:sz w:val="22"/>
          <w:szCs w:val="22"/>
          <w:lang w:eastAsia="en-GB"/>
          <w14:ligatures w14:val="none"/>
        </w:rPr>
      </w:pPr>
      <w:r w:rsidRPr="00396705">
        <w:rPr>
          <w:rFonts w:eastAsia="Times New Roman" w:cstheme="minorHAnsi"/>
          <w:b/>
          <w:bCs/>
          <w:color w:val="393B49"/>
          <w:kern w:val="0"/>
          <w:sz w:val="22"/>
          <w:szCs w:val="22"/>
          <w:bdr w:val="none" w:sz="0" w:space="0" w:color="auto" w:frame="1"/>
          <w:lang w:eastAsia="en-GB"/>
          <w14:ligatures w14:val="none"/>
        </w:rPr>
        <w:t>On a learner mobility project, participants can take part in:</w:t>
      </w:r>
    </w:p>
    <w:p w:rsidR="00396705" w:rsidRPr="00396705" w:rsidRDefault="00396705" w:rsidP="00396705">
      <w:pPr>
        <w:numPr>
          <w:ilvl w:val="0"/>
          <w:numId w:val="2"/>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Group mobility of school pupils (2 to 30 days, at least two pupils per group)</w:t>
      </w:r>
    </w:p>
    <w:p w:rsidR="00396705" w:rsidRPr="00396705" w:rsidRDefault="00396705" w:rsidP="00396705">
      <w:pPr>
        <w:numPr>
          <w:ilvl w:val="0"/>
          <w:numId w:val="2"/>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Short-term learning mobility of pupils for 10 to 29 days</w:t>
      </w:r>
    </w:p>
    <w:p w:rsidR="00396705" w:rsidRPr="00396705" w:rsidRDefault="00396705" w:rsidP="00396705">
      <w:pPr>
        <w:numPr>
          <w:ilvl w:val="0"/>
          <w:numId w:val="2"/>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lastRenderedPageBreak/>
        <w:t>Long-term learning mobility of pupils for 30 to 365 days</w:t>
      </w:r>
      <w:r w:rsidR="003A0513" w:rsidRPr="003A0513">
        <w:rPr>
          <w:rFonts w:eastAsia="Times New Roman" w:cstheme="minorHAnsi"/>
          <w:color w:val="393B49"/>
          <w:kern w:val="0"/>
          <w:sz w:val="22"/>
          <w:szCs w:val="22"/>
          <w:lang w:eastAsia="en-GB"/>
          <w14:ligatures w14:val="none"/>
        </w:rPr>
        <w:br/>
      </w:r>
    </w:p>
    <w:p w:rsidR="00396705" w:rsidRPr="00396705" w:rsidRDefault="00396705" w:rsidP="00396705">
      <w:pPr>
        <w:shd w:val="clear" w:color="auto" w:fill="FFFFFF"/>
        <w:textAlignment w:val="baseline"/>
        <w:rPr>
          <w:rFonts w:eastAsia="Times New Roman" w:cstheme="minorHAnsi"/>
          <w:color w:val="393B49"/>
          <w:kern w:val="0"/>
          <w:sz w:val="22"/>
          <w:szCs w:val="22"/>
          <w:lang w:eastAsia="en-GB"/>
          <w14:ligatures w14:val="none"/>
        </w:rPr>
      </w:pPr>
      <w:r w:rsidRPr="00396705">
        <w:rPr>
          <w:rFonts w:eastAsia="Times New Roman" w:cstheme="minorHAnsi"/>
          <w:b/>
          <w:bCs/>
          <w:color w:val="393B49"/>
          <w:kern w:val="0"/>
          <w:sz w:val="22"/>
          <w:szCs w:val="22"/>
          <w:bdr w:val="none" w:sz="0" w:space="0" w:color="auto" w:frame="1"/>
          <w:lang w:eastAsia="en-GB"/>
          <w14:ligatures w14:val="none"/>
        </w:rPr>
        <w:t>Other Supported Activities:</w:t>
      </w:r>
    </w:p>
    <w:p w:rsidR="00396705" w:rsidRPr="00396705" w:rsidRDefault="00396705" w:rsidP="00396705">
      <w:pPr>
        <w:numPr>
          <w:ilvl w:val="0"/>
          <w:numId w:val="3"/>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Organisations can invite experts for 2 to 60 days</w:t>
      </w:r>
    </w:p>
    <w:p w:rsidR="00396705" w:rsidRPr="00396705" w:rsidRDefault="00396705" w:rsidP="00396705">
      <w:pPr>
        <w:numPr>
          <w:ilvl w:val="0"/>
          <w:numId w:val="3"/>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Organisations can host teachers and educators in training for 10 to 365 days</w:t>
      </w:r>
    </w:p>
    <w:p w:rsidR="00396705" w:rsidRPr="00396705" w:rsidRDefault="00396705" w:rsidP="00396705">
      <w:pPr>
        <w:numPr>
          <w:ilvl w:val="0"/>
          <w:numId w:val="3"/>
        </w:numPr>
        <w:textAlignment w:val="baseline"/>
        <w:rPr>
          <w:rFonts w:eastAsia="Times New Roman" w:cstheme="minorHAnsi"/>
          <w:color w:val="393B49"/>
          <w:kern w:val="0"/>
          <w:sz w:val="22"/>
          <w:szCs w:val="22"/>
          <w:lang w:eastAsia="en-GB"/>
          <w14:ligatures w14:val="none"/>
        </w:rPr>
      </w:pPr>
      <w:r w:rsidRPr="00396705">
        <w:rPr>
          <w:rFonts w:eastAsia="Times New Roman" w:cstheme="minorHAnsi"/>
          <w:color w:val="393B49"/>
          <w:kern w:val="0"/>
          <w:sz w:val="22"/>
          <w:szCs w:val="22"/>
          <w:lang w:eastAsia="en-GB"/>
          <w14:ligatures w14:val="none"/>
        </w:rPr>
        <w:t>Organisations can set up a preparatory visit to their hosting partner before the mobility takes place.</w:t>
      </w:r>
    </w:p>
    <w:p w:rsidR="003A0513" w:rsidRPr="003A0513" w:rsidRDefault="00396705" w:rsidP="003A0513">
      <w:pPr>
        <w:ind w:left="360"/>
        <w:textAlignment w:val="baseline"/>
        <w:rPr>
          <w:rFonts w:eastAsia="Times New Roman" w:cstheme="minorHAnsi"/>
          <w:color w:val="393B49"/>
          <w:kern w:val="0"/>
          <w:sz w:val="22"/>
          <w:szCs w:val="22"/>
          <w:lang w:eastAsia="en-GB"/>
          <w14:ligatures w14:val="none"/>
        </w:rPr>
      </w:pPr>
      <w:r w:rsidRPr="003A0513">
        <w:rPr>
          <w:sz w:val="22"/>
          <w:szCs w:val="22"/>
        </w:rPr>
        <w:br/>
      </w:r>
      <w:r w:rsidR="003A0513" w:rsidRPr="003A0513">
        <w:rPr>
          <w:b/>
          <w:bCs/>
          <w:sz w:val="22"/>
          <w:szCs w:val="22"/>
        </w:rPr>
        <w:t>Funding is available for:</w:t>
      </w:r>
      <w:r w:rsidR="003A0513">
        <w:rPr>
          <w:sz w:val="22"/>
          <w:szCs w:val="22"/>
        </w:rPr>
        <w:br/>
      </w:r>
      <w:r w:rsidR="003A0513">
        <w:rPr>
          <w:sz w:val="22"/>
          <w:szCs w:val="22"/>
        </w:rPr>
        <w:br/>
      </w:r>
      <w:r w:rsidR="003A0513" w:rsidRPr="003A0513">
        <w:rPr>
          <w:rFonts w:eastAsia="Times New Roman" w:cstheme="minorHAnsi"/>
          <w:b/>
          <w:bCs/>
          <w:color w:val="393B49"/>
          <w:kern w:val="0"/>
          <w:sz w:val="22"/>
          <w:szCs w:val="22"/>
          <w:bdr w:val="none" w:sz="0" w:space="0" w:color="auto" w:frame="1"/>
          <w:lang w:eastAsia="en-GB"/>
          <w14:ligatures w14:val="none"/>
        </w:rPr>
        <w:t>Organisational Support – </w:t>
      </w:r>
      <w:r w:rsidR="003A0513" w:rsidRPr="003A0513">
        <w:rPr>
          <w:rFonts w:eastAsia="Times New Roman" w:cstheme="minorHAnsi"/>
          <w:color w:val="393B49"/>
          <w:kern w:val="0"/>
          <w:sz w:val="22"/>
          <w:szCs w:val="22"/>
          <w:lang w:eastAsia="en-GB"/>
          <w14:ligatures w14:val="none"/>
        </w:rPr>
        <w:t>for preparing and managing all phases of the project</w:t>
      </w:r>
      <w:r w:rsidR="003A0513">
        <w:rPr>
          <w:rFonts w:eastAsia="Times New Roman" w:cstheme="minorHAnsi"/>
          <w:color w:val="393B49"/>
          <w:kern w:val="0"/>
          <w:sz w:val="22"/>
          <w:szCs w:val="22"/>
          <w:lang w:eastAsia="en-GB"/>
          <w14:ligatures w14:val="none"/>
        </w:rPr>
        <w:t xml:space="preserve"> plus:</w:t>
      </w:r>
      <w:r w:rsidR="003A0513">
        <w:rPr>
          <w:rFonts w:eastAsia="Times New Roman" w:cstheme="minorHAnsi"/>
          <w:color w:val="393B49"/>
          <w:kern w:val="0"/>
          <w:sz w:val="22"/>
          <w:szCs w:val="22"/>
          <w:lang w:eastAsia="en-GB"/>
          <w14:ligatures w14:val="none"/>
        </w:rPr>
        <w:br/>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Travel – </w:t>
      </w:r>
      <w:r w:rsidRPr="003A0513">
        <w:rPr>
          <w:rFonts w:eastAsia="Times New Roman" w:cstheme="minorHAnsi"/>
          <w:color w:val="393B49"/>
          <w:kern w:val="0"/>
          <w:sz w:val="22"/>
          <w:szCs w:val="22"/>
          <w:lang w:eastAsia="en-GB"/>
          <w14:ligatures w14:val="none"/>
        </w:rPr>
        <w:t>return travel costs from participants’ homes to the venue of the activity. For long-term mobility, this means contribution to the return travel costs of participants and accompanying persons from their place of origin to the venue of pre-departure training for pupils.</w:t>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Individual Support – </w:t>
      </w:r>
      <w:r w:rsidRPr="003A0513">
        <w:rPr>
          <w:rFonts w:eastAsia="Times New Roman" w:cstheme="minorHAnsi"/>
          <w:color w:val="393B49"/>
          <w:kern w:val="0"/>
          <w:sz w:val="22"/>
          <w:szCs w:val="22"/>
          <w:lang w:eastAsia="en-GB"/>
          <w14:ligatures w14:val="none"/>
        </w:rPr>
        <w:t>‘subsistence’ costs of participants (for example, food and accommodation)</w:t>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Inclusion support – </w:t>
      </w:r>
      <w:r w:rsidRPr="003A0513">
        <w:rPr>
          <w:rFonts w:eastAsia="Times New Roman" w:cstheme="minorHAnsi"/>
          <w:color w:val="393B49"/>
          <w:kern w:val="0"/>
          <w:sz w:val="22"/>
          <w:szCs w:val="22"/>
          <w:lang w:eastAsia="en-GB"/>
          <w14:ligatures w14:val="none"/>
        </w:rPr>
        <w:t>additional funding to enable pupils with fewer opportunities and their accompanying people to take part</w:t>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Preparatory visits – </w:t>
      </w:r>
      <w:r w:rsidRPr="003A0513">
        <w:rPr>
          <w:rFonts w:eastAsia="Times New Roman" w:cstheme="minorHAnsi"/>
          <w:color w:val="393B49"/>
          <w:kern w:val="0"/>
          <w:sz w:val="22"/>
          <w:szCs w:val="22"/>
          <w:lang w:eastAsia="en-GB"/>
          <w14:ligatures w14:val="none"/>
        </w:rPr>
        <w:t>for visits to hosting organisations before the ‘mobility period’ takes place.</w:t>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Course fees – </w:t>
      </w:r>
      <w:r w:rsidRPr="003A0513">
        <w:rPr>
          <w:rFonts w:eastAsia="Times New Roman" w:cstheme="minorHAnsi"/>
          <w:color w:val="393B49"/>
          <w:kern w:val="0"/>
          <w:sz w:val="22"/>
          <w:szCs w:val="22"/>
          <w:lang w:eastAsia="en-GB"/>
          <w14:ligatures w14:val="none"/>
        </w:rPr>
        <w:t>for training course enrolment fees</w:t>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Linguistic support – </w:t>
      </w:r>
      <w:r w:rsidRPr="003A0513">
        <w:rPr>
          <w:rFonts w:eastAsia="Times New Roman" w:cstheme="minorHAnsi"/>
          <w:color w:val="393B49"/>
          <w:kern w:val="0"/>
          <w:sz w:val="22"/>
          <w:szCs w:val="22"/>
          <w:lang w:eastAsia="en-GB"/>
          <w14:ligatures w14:val="none"/>
        </w:rPr>
        <w:t>for language learning materials and training, where needed</w:t>
      </w:r>
    </w:p>
    <w:p w:rsidR="003A0513" w:rsidRPr="003A0513" w:rsidRDefault="003A0513" w:rsidP="003A0513">
      <w:pPr>
        <w:numPr>
          <w:ilvl w:val="0"/>
          <w:numId w:val="4"/>
        </w:numPr>
        <w:textAlignment w:val="baseline"/>
        <w:rPr>
          <w:rFonts w:eastAsia="Times New Roman" w:cstheme="minorHAnsi"/>
          <w:color w:val="393B49"/>
          <w:kern w:val="0"/>
          <w:sz w:val="22"/>
          <w:szCs w:val="22"/>
          <w:lang w:eastAsia="en-GB"/>
          <w14:ligatures w14:val="none"/>
        </w:rPr>
      </w:pPr>
      <w:r w:rsidRPr="003A0513">
        <w:rPr>
          <w:rFonts w:eastAsia="Times New Roman" w:cstheme="minorHAnsi"/>
          <w:b/>
          <w:bCs/>
          <w:color w:val="393B49"/>
          <w:kern w:val="0"/>
          <w:sz w:val="22"/>
          <w:szCs w:val="22"/>
          <w:bdr w:val="none" w:sz="0" w:space="0" w:color="auto" w:frame="1"/>
          <w:lang w:eastAsia="en-GB"/>
          <w14:ligatures w14:val="none"/>
        </w:rPr>
        <w:t>Exceptional costs – </w:t>
      </w:r>
      <w:r w:rsidRPr="003A0513">
        <w:rPr>
          <w:rFonts w:eastAsia="Times New Roman" w:cstheme="minorHAnsi"/>
          <w:color w:val="393B49"/>
          <w:kern w:val="0"/>
          <w:sz w:val="22"/>
          <w:szCs w:val="22"/>
          <w:lang w:eastAsia="en-GB"/>
          <w14:ligatures w14:val="none"/>
        </w:rPr>
        <w:t>Such as costs for providing a financial guarantee, if the National Agency asks for it; or expensive travel costs (for example, when a participant is travelling to or from a very remote place).</w:t>
      </w:r>
    </w:p>
    <w:p w:rsidR="003A0513" w:rsidRPr="003A0513" w:rsidRDefault="003A0513" w:rsidP="003A0513">
      <w:pPr>
        <w:rPr>
          <w:rFonts w:ascii="Times New Roman" w:eastAsia="Times New Roman" w:hAnsi="Times New Roman" w:cs="Times New Roman"/>
          <w:kern w:val="0"/>
          <w:lang w:eastAsia="en-GB"/>
          <w14:ligatures w14:val="none"/>
        </w:rPr>
      </w:pPr>
    </w:p>
    <w:p w:rsidR="00396705" w:rsidRPr="0022216D" w:rsidRDefault="0022216D">
      <w:pPr>
        <w:rPr>
          <w:b/>
          <w:bCs/>
        </w:rPr>
      </w:pPr>
      <w:r w:rsidRPr="0022216D">
        <w:rPr>
          <w:b/>
          <w:bCs/>
        </w:rPr>
        <w:t>3</w:t>
      </w:r>
      <w:r w:rsidRPr="0022216D">
        <w:rPr>
          <w:b/>
          <w:bCs/>
        </w:rPr>
        <w:tab/>
        <w:t>Accreditation</w:t>
      </w:r>
    </w:p>
    <w:p w:rsidR="0022216D" w:rsidRDefault="0022216D">
      <w:pPr>
        <w:rPr>
          <w:sz w:val="22"/>
          <w:szCs w:val="22"/>
        </w:rPr>
      </w:pPr>
    </w:p>
    <w:p w:rsidR="0022216D" w:rsidRDefault="0022216D">
      <w:pPr>
        <w:rPr>
          <w:sz w:val="22"/>
          <w:szCs w:val="22"/>
        </w:rPr>
      </w:pPr>
      <w:r>
        <w:rPr>
          <w:sz w:val="22"/>
          <w:szCs w:val="22"/>
        </w:rPr>
        <w:t>Accreditation is suitable for any school or organisation that plans to regularly and strategically carry out projects, accreditation is awarded up to the end of the programme. It enables longer term and more strategic collaboration. If approved the form for funding applications is simpler to complete.</w:t>
      </w:r>
    </w:p>
    <w:p w:rsidR="0022216D" w:rsidRDefault="0022216D">
      <w:pPr>
        <w:rPr>
          <w:sz w:val="22"/>
          <w:szCs w:val="22"/>
        </w:rPr>
      </w:pPr>
    </w:p>
    <w:p w:rsidR="0022216D" w:rsidRPr="002631FF" w:rsidRDefault="0022216D">
      <w:pPr>
        <w:rPr>
          <w:b/>
          <w:bCs/>
        </w:rPr>
      </w:pPr>
      <w:r w:rsidRPr="002631FF">
        <w:rPr>
          <w:b/>
          <w:bCs/>
        </w:rPr>
        <w:t>Budgets:</w:t>
      </w:r>
    </w:p>
    <w:p w:rsidR="0022216D" w:rsidRPr="002631FF" w:rsidRDefault="0022216D">
      <w:pPr>
        <w:rPr>
          <w:b/>
          <w:bCs/>
        </w:rPr>
      </w:pPr>
      <w:r w:rsidRPr="002631FF">
        <w:rPr>
          <w:b/>
          <w:bCs/>
        </w:rPr>
        <w:t>2023-27</w:t>
      </w:r>
    </w:p>
    <w:p w:rsidR="006C4A42" w:rsidRDefault="006C4A42" w:rsidP="006C4A42">
      <w:pPr>
        <w:spacing w:line="480" w:lineRule="auto"/>
        <w:rPr>
          <w:sz w:val="22"/>
          <w:szCs w:val="22"/>
        </w:rPr>
      </w:pPr>
      <w:r>
        <w:rPr>
          <w:sz w:val="22"/>
          <w:szCs w:val="22"/>
        </w:rPr>
        <w:t>Education and training total: €20.3</w:t>
      </w:r>
      <w:r w:rsidR="00733F09">
        <w:rPr>
          <w:sz w:val="22"/>
          <w:szCs w:val="22"/>
        </w:rPr>
        <w:t xml:space="preserve"> billion</w:t>
      </w:r>
      <w:r>
        <w:rPr>
          <w:sz w:val="22"/>
          <w:szCs w:val="22"/>
        </w:rPr>
        <w:t xml:space="preserve"> (increase from </w:t>
      </w:r>
      <w:r w:rsidR="00733F09">
        <w:rPr>
          <w:sz w:val="22"/>
          <w:szCs w:val="22"/>
        </w:rPr>
        <w:t>€1</w:t>
      </w:r>
      <w:r>
        <w:rPr>
          <w:sz w:val="22"/>
          <w:szCs w:val="22"/>
        </w:rPr>
        <w:t>4.00 in previous programme)</w:t>
      </w:r>
    </w:p>
    <w:p w:rsidR="006C4A42" w:rsidRDefault="006C4A42">
      <w:pPr>
        <w:rPr>
          <w:sz w:val="22"/>
          <w:szCs w:val="22"/>
        </w:rPr>
      </w:pPr>
      <w:r>
        <w:rPr>
          <w:sz w:val="22"/>
          <w:szCs w:val="22"/>
        </w:rPr>
        <w:t>HE = 7</w:t>
      </w:r>
      <w:r w:rsidR="00733F09">
        <w:rPr>
          <w:sz w:val="22"/>
          <w:szCs w:val="22"/>
        </w:rPr>
        <w:t>.0</w:t>
      </w:r>
      <w:r>
        <w:rPr>
          <w:sz w:val="22"/>
          <w:szCs w:val="22"/>
        </w:rPr>
        <w:br/>
        <w:t>Vocational education = 4.3</w:t>
      </w:r>
    </w:p>
    <w:p w:rsidR="006C4A42" w:rsidRDefault="006C4A42">
      <w:pPr>
        <w:rPr>
          <w:sz w:val="22"/>
          <w:szCs w:val="22"/>
        </w:rPr>
      </w:pPr>
      <w:r>
        <w:rPr>
          <w:sz w:val="22"/>
          <w:szCs w:val="22"/>
        </w:rPr>
        <w:t>Schools = 3.1</w:t>
      </w:r>
      <w:r>
        <w:rPr>
          <w:sz w:val="22"/>
          <w:szCs w:val="22"/>
        </w:rPr>
        <w:br/>
        <w:t>Adult = 1.1</w:t>
      </w:r>
      <w:r>
        <w:rPr>
          <w:sz w:val="22"/>
          <w:szCs w:val="22"/>
        </w:rPr>
        <w:br/>
        <w:t>Youth = 2.5</w:t>
      </w:r>
    </w:p>
    <w:p w:rsidR="0022216D" w:rsidRPr="003A0513" w:rsidRDefault="006C4A42">
      <w:pPr>
        <w:rPr>
          <w:sz w:val="22"/>
          <w:szCs w:val="22"/>
        </w:rPr>
      </w:pPr>
      <w:r>
        <w:rPr>
          <w:sz w:val="22"/>
          <w:szCs w:val="22"/>
        </w:rPr>
        <w:t>Other partnerships</w:t>
      </w:r>
      <w:r w:rsidR="00733F09">
        <w:rPr>
          <w:sz w:val="22"/>
          <w:szCs w:val="22"/>
        </w:rPr>
        <w:t>*</w:t>
      </w:r>
      <w:r>
        <w:rPr>
          <w:sz w:val="22"/>
          <w:szCs w:val="22"/>
        </w:rPr>
        <w:t>, policies = 3.4</w:t>
      </w:r>
      <w:r>
        <w:rPr>
          <w:sz w:val="22"/>
          <w:szCs w:val="22"/>
        </w:rPr>
        <w:br/>
        <w:t>Sport = 0.4</w:t>
      </w:r>
      <w:r>
        <w:rPr>
          <w:sz w:val="22"/>
          <w:szCs w:val="22"/>
        </w:rPr>
        <w:br/>
      </w:r>
    </w:p>
    <w:p w:rsidR="00396705" w:rsidRDefault="00733F09" w:rsidP="00733F09">
      <w:r>
        <w:t>*Cooperation projects for EU countries and third countries associated to the Programme. Third countries not associated to the Programme can be included but will not be funded.</w:t>
      </w:r>
    </w:p>
    <w:p w:rsidR="001F7F24" w:rsidRDefault="001F7F24"/>
    <w:p w:rsidR="001F7F24" w:rsidRDefault="001F7F24">
      <w:r w:rsidRPr="001F7F24">
        <w:rPr>
          <w:b/>
          <w:bCs/>
        </w:rPr>
        <w:t>Ray Kirtley</w:t>
      </w:r>
      <w:r>
        <w:t xml:space="preserve"> (Hull and East Riding EM) Ray.Kirtley@gmail.com</w:t>
      </w:r>
      <w:r>
        <w:br/>
      </w:r>
    </w:p>
    <w:sectPr w:rsidR="001F7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5AEE"/>
    <w:multiLevelType w:val="multilevel"/>
    <w:tmpl w:val="68F4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B75B5"/>
    <w:multiLevelType w:val="multilevel"/>
    <w:tmpl w:val="E4B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87256"/>
    <w:multiLevelType w:val="multilevel"/>
    <w:tmpl w:val="37C8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E57DE"/>
    <w:multiLevelType w:val="multilevel"/>
    <w:tmpl w:val="4244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302590">
    <w:abstractNumId w:val="2"/>
  </w:num>
  <w:num w:numId="2" w16cid:durableId="1854344587">
    <w:abstractNumId w:val="1"/>
  </w:num>
  <w:num w:numId="3" w16cid:durableId="916086134">
    <w:abstractNumId w:val="0"/>
  </w:num>
  <w:num w:numId="4" w16cid:durableId="617686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EE"/>
    <w:rsid w:val="001574D3"/>
    <w:rsid w:val="001F7F24"/>
    <w:rsid w:val="0022216D"/>
    <w:rsid w:val="002631FF"/>
    <w:rsid w:val="00264820"/>
    <w:rsid w:val="00396705"/>
    <w:rsid w:val="003A0513"/>
    <w:rsid w:val="006C4A42"/>
    <w:rsid w:val="006D0DEE"/>
    <w:rsid w:val="00733F09"/>
    <w:rsid w:val="00C7278A"/>
    <w:rsid w:val="00DB4C44"/>
    <w:rsid w:val="00FA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3B5CDB"/>
  <w15:chartTrackingRefBased/>
  <w15:docId w15:val="{64BDD651-1758-4549-BA85-519029AB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705"/>
    <w:rPr>
      <w:b/>
      <w:bCs/>
    </w:rPr>
  </w:style>
  <w:style w:type="paragraph" w:styleId="NormalWeb">
    <w:name w:val="Normal (Web)"/>
    <w:basedOn w:val="Normal"/>
    <w:uiPriority w:val="99"/>
    <w:semiHidden/>
    <w:unhideWhenUsed/>
    <w:rsid w:val="0039670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73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79036">
      <w:bodyDiv w:val="1"/>
      <w:marLeft w:val="0"/>
      <w:marRight w:val="0"/>
      <w:marTop w:val="0"/>
      <w:marBottom w:val="0"/>
      <w:divBdr>
        <w:top w:val="none" w:sz="0" w:space="0" w:color="auto"/>
        <w:left w:val="none" w:sz="0" w:space="0" w:color="auto"/>
        <w:bottom w:val="none" w:sz="0" w:space="0" w:color="auto"/>
        <w:right w:val="none" w:sz="0" w:space="0" w:color="auto"/>
      </w:divBdr>
    </w:div>
    <w:div w:id="17871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Kirtley</dc:creator>
  <cp:keywords/>
  <dc:description/>
  <cp:lastModifiedBy>Ray Kirtley</cp:lastModifiedBy>
  <cp:revision>3</cp:revision>
  <dcterms:created xsi:type="dcterms:W3CDTF">2023-09-28T08:15:00Z</dcterms:created>
  <dcterms:modified xsi:type="dcterms:W3CDTF">2023-10-13T11:49:00Z</dcterms:modified>
</cp:coreProperties>
</file>